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20"/>
          <w:szCs w:val="20"/>
        </w:rPr>
      </w:pPr>
      <w:bookmarkStart w:colFirst="0" w:colLast="0" w:name="_heading=h.gjdgxs" w:id="0"/>
      <w:bookmarkEnd w:id="0"/>
      <w:r w:rsidDel="00000000" w:rsidR="00000000" w:rsidRPr="00000000">
        <w:rPr>
          <w:rFonts w:ascii="Arial" w:cs="Arial" w:eastAsia="Arial" w:hAnsi="Arial"/>
          <w:b w:val="1"/>
          <w:sz w:val="36"/>
          <w:szCs w:val="36"/>
          <w:rtl w:val="0"/>
        </w:rPr>
        <w:t xml:space="preserve">Joint Schedule 6 (Key Subcontractors)</w:t>
      </w:r>
      <w:r w:rsidDel="00000000" w:rsidR="00000000" w:rsidRPr="00000000">
        <w:rPr>
          <w:rtl w:val="0"/>
        </w:rPr>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Restrictions on certain subcontractors</w:t>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the DPS Contract to the Key Subcontractors identified on the Platform. </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an Order Contract to Key Subcontractors listed on the Platform who are specifically nominated in the Order Form.</w:t>
      </w: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the Platform.  Where the Buyer consents to the appointment of a new Key Subcontractor then they will be added to the Key Subcontractor section of the Order Form.  CCS and the Buyer may reasonably withhold their consent to the appointment of a Key Subcontractor if it considers that:</w:t>
      </w: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appointment of a proposed Key Subcontractor may prejudice the provision of the Deliverables or may be contrary to its interests;</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is unreliable and/or has not provided reliable goods and or reasonable services to its other customers; and/or</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employs unfit persons.</w:t>
      </w:r>
    </w:p>
    <w:p w:rsidR="00000000" w:rsidDel="00000000" w:rsidP="00000000" w:rsidRDefault="00000000" w:rsidRPr="00000000" w14:paraId="0000000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CCS and the Buyer with the following information in respect of the proposed Key Subcontractor:</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Subcontractor’s name, registered office and company registration number;</w:t>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scope/description of any Deliverables to be provided by the proposed Key Subcontractor; </w:t>
      </w:r>
    </w:p>
    <w:p w:rsidR="00000000" w:rsidDel="00000000" w:rsidP="00000000" w:rsidRDefault="00000000" w:rsidRPr="00000000" w14:paraId="000000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proposed Key Subcontractor is an Affiliate of the Supplier, evidence that demonstrates to the reasonable satisfaction of the CCS and the Buyer that the proposed Key Sub-Contract has been agreed on "arm’s-length" terms;</w:t>
      </w:r>
    </w:p>
    <w:p w:rsidR="00000000" w:rsidDel="00000000" w:rsidP="00000000" w:rsidRDefault="00000000" w:rsidRPr="00000000" w14:paraId="0000000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CCS, the Key Sub-Contract price expressed as a percentage of the total projected DPS Price over the DPS Contract Period; </w:t>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Buyer, the Key Sub-Contract price expressed as a percentage of the total projected Charges over the Order Contract Period; and</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applicable) Credit Rating Threshold (as defined in Joint Schedule 7 (Financial Distress)) of the Key Subcontractor.</w:t>
      </w:r>
    </w:p>
    <w:p w:rsidR="00000000" w:rsidDel="00000000" w:rsidP="00000000" w:rsidRDefault="00000000" w:rsidRPr="00000000" w14:paraId="0000001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requested by CCS and/or the Buyer, within ten (10) Working Days of receipt of the information provided by the Supplier pursuant to Paragraph 1.4, the Supplier shall also provide:</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copy of the proposed Key Sub-Contract; and </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further information reasonably requested by CCS and/or the Buyer.</w:t>
      </w:r>
    </w:p>
    <w:p w:rsidR="00000000" w:rsidDel="00000000" w:rsidP="00000000" w:rsidRDefault="00000000" w:rsidRPr="00000000" w14:paraId="0000001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each new or replacement Key Sub-Contract shall include: </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which will enable the Supplier to discharge its obligations under the Contracts;</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right under CRTPA for CCS and the Buyer to enforce any provisions under the Key Sub-Contract which confer a benefit upon CCS and the Buyer respectively;</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CCS and the Buyer to enforce the Key Sub-Contract as if it were the Supplier; </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the Supplier to assign, novate or otherwise transfer any of its rights and/or obligations under the Key Sub-Contract to CCS and/or the Buyer; </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obligations no less onerous on the Key Subcontractor than those imposed on the Supplier under the DPS Contract in respect of:</w:t>
      </w:r>
    </w:p>
    <w:p w:rsidR="00000000" w:rsidDel="00000000" w:rsidP="00000000" w:rsidRDefault="00000000" w:rsidRPr="00000000" w14:paraId="0000001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data protection requirements set out in Clause 14 (Data protection);</w:t>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FOIA and other access request requirements set out in Clause 16 (When you can share information);</w:t>
      </w:r>
    </w:p>
    <w:p w:rsidR="00000000" w:rsidDel="00000000" w:rsidP="00000000" w:rsidRDefault="00000000" w:rsidRPr="00000000" w14:paraId="000000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not to embarrass CCS or the Buyer or otherwise bring CCS or the Buyer into disrepute; </w:t>
      </w:r>
    </w:p>
    <w:p w:rsidR="00000000" w:rsidDel="00000000" w:rsidP="00000000" w:rsidRDefault="00000000" w:rsidRPr="00000000" w14:paraId="0000001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keeping of records in respect of the goods and/or services being provided under the Key Sub-Contract, including the maintenance of Open Book Data; and</w:t>
      </w:r>
    </w:p>
    <w:p w:rsidR="00000000" w:rsidDel="00000000" w:rsidP="00000000" w:rsidRDefault="00000000" w:rsidRPr="00000000" w14:paraId="0000001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conduct of audits set out in Clause 6 (Record keeping and reporting);</w:t>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w:t>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restricting the ability of the Key Subcontractor to sub-contract all or any part of the provision of the Deliverables provided to the Supplier under the Key Sub-Contract without first seeking the written consent of CCS and the Buyer. </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13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6">
    <w:pPr>
      <w:tabs>
        <w:tab w:val="center" w:pos="4513"/>
        <w:tab w:val="right" w:pos="9026"/>
      </w:tabs>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w:t>
      <w:tab/>
      <w:t xml:space="preserve">                                           </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29">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RM6313</w:t>
      <w:tab/>
      <w:t xml:space="preserve">                                           </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C">
    <w:pPr>
      <w:spacing w:after="0" w:line="240" w:lineRule="auto"/>
      <w:jc w:val="both"/>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v1.1</w:t>
      <w:tab/>
    </w:r>
    <w:r w:rsidDel="00000000" w:rsidR="00000000" w:rsidRPr="00000000">
      <w:rPr>
        <w:rFonts w:ascii="Arial" w:cs="Arial" w:eastAsia="Arial" w:hAnsi="Arial"/>
        <w:color w:val="bfbfbf"/>
        <w:sz w:val="20"/>
        <w:szCs w:val="20"/>
        <w:rtl w:val="0"/>
      </w:rPr>
      <w:tab/>
      <w:tab/>
    </w:r>
    <w:bookmarkStart w:colFirst="0" w:colLast="0" w:name="bookmark=id.3dy6vkm" w:id="6"/>
    <w:bookmarkEnd w:id="6"/>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6 (Key Subcontractors)</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2019</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3Guidance" w:customStyle="1">
    <w:name w:val="GPS L3 Guidance"/>
    <w:basedOn w:val="Normal"/>
    <w:link w:val="GPSL3GuidanceChar"/>
    <w:qFormat w:val="1"/>
    <w:pPr>
      <w:tabs>
        <w:tab w:val="left" w:pos="1985"/>
      </w:tabs>
      <w:adjustRightInd w:val="0"/>
      <w:spacing w:after="120" w:before="120" w:line="240" w:lineRule="auto"/>
      <w:ind w:left="1985"/>
      <w:jc w:val="both"/>
    </w:pPr>
    <w:rPr>
      <w:rFonts w:ascii="Calibri" w:cs="Arial" w:eastAsia="Times New Roman" w:hAnsi="Calibri"/>
      <w:b w:val="1"/>
      <w:i w:val="1"/>
      <w:lang w:eastAsia="zh-CN"/>
    </w:rPr>
  </w:style>
  <w:style w:type="paragraph" w:styleId="GPSL1Schedulenumbered" w:customStyle="1">
    <w:name w:val="GPS L1 Schedule numbered"/>
    <w:basedOn w:val="Normal"/>
    <w:link w:val="GPSL1SchedulenumberedChar1"/>
    <w:qFormat w:val="1"/>
    <w:pPr>
      <w:numPr>
        <w:numId w:val="1"/>
      </w:numPr>
      <w:tabs>
        <w:tab w:val="left" w:pos="851"/>
      </w:tabs>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GPSL1SchedulenumberedChar1" w:customStyle="1">
    <w:name w:val="GPS L1 Schedule numbered Char1"/>
    <w:link w:val="GPSL1Schedulenumbered"/>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GPSL1CLAUSEHEADING" w:customStyle="1">
    <w:name w:val="GPS L1 CLAUSE HEADING"/>
    <w:basedOn w:val="Normal"/>
    <w:next w:val="Normal"/>
    <w:qFormat w:val="1"/>
    <w:pPr>
      <w:numPr>
        <w:numId w:val="3"/>
      </w:numPr>
      <w:tabs>
        <w:tab w:val="left" w:pos="142"/>
      </w:tabs>
      <w:adjustRightInd w:val="0"/>
      <w:spacing w:after="240" w:before="120" w:line="240" w:lineRule="auto"/>
      <w:jc w:val="both"/>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numPr>
        <w:ilvl w:val="2"/>
        <w:numId w:val="3"/>
      </w:numPr>
      <w:tabs>
        <w:tab w:val="left" w:pos="1985"/>
      </w:tabs>
      <w:adjustRightInd w:val="0"/>
      <w:spacing w:after="120" w:before="120" w:line="240" w:lineRule="auto"/>
      <w:jc w:val="both"/>
    </w:pPr>
    <w:rPr>
      <w:rFonts w:ascii="Calibri" w:cs="Arial" w:eastAsia="Times New Roman" w:hAnsi="Calibri"/>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2NumberedBoldHeading" w:customStyle="1">
    <w:name w:val="GPS L2 Numbered Bold Heading"/>
    <w:basedOn w:val="Normal"/>
    <w:link w:val="GPSL2NumberedBoldHeadingChar"/>
    <w:qFormat w:val="1"/>
    <w:pPr>
      <w:numPr>
        <w:ilvl w:val="1"/>
        <w:numId w:val="3"/>
      </w:numPr>
      <w:adjustRightInd w:val="0"/>
      <w:spacing w:after="120" w:before="120" w:line="240" w:lineRule="auto"/>
      <w:ind w:left="936" w:hanging="576"/>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legds2" w:customStyle="1">
    <w:name w:val="legds2"/>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numberedclause" w:customStyle="1">
    <w:name w:val="GPS L2 numbered clause"/>
    <w:basedOn w:val="Normal"/>
    <w:qFormat w:val="1"/>
    <w:pPr>
      <w:tabs>
        <w:tab w:val="left" w:pos="1134"/>
      </w:tabs>
      <w:adjustRightInd w:val="0"/>
      <w:spacing w:after="120" w:before="120" w:line="240" w:lineRule="auto"/>
      <w:ind w:left="1134" w:hanging="567"/>
      <w:jc w:val="both"/>
    </w:pPr>
    <w:rPr>
      <w:rFonts w:ascii="Calibri" w:cs="Arial" w:eastAsia="Times New Roman" w:hAnsi="Calibri"/>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1" w:customStyle="1">
    <w:name w:val="Table Grid1"/>
    <w:basedOn w:val="TableNormal"/>
    <w:next w:val="TableGrid"/>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2OM/xqawshTiabHxORyzXGLgSLg==">AMUW2mUNTw7wc+yDRHcl6h5wQHBlf3zo6cAL1Y8uBlrZzodM4NKS/kboDyzKkNC1Mb1gY0FNKw/8bE0UaEShBqDx2AospKRSRljQnlajUvxnyIxVuYe6rCoeywkVBrbYWSgV6de/afXMjFvI82+fqaZ/gm1Gla4KDB1uKZvRcLyAt+67Bm0DMRXLhE0apnPXZyapMgUfNrSehodhPPEiBUBbdYODyNMqkg==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2019-08-12T10:28:00Z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